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4FFE" w14:textId="77777777" w:rsidR="003E6A45" w:rsidRDefault="00326468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CommitteeName  \* MERGEFORMAT </w:instrText>
      </w:r>
      <w:r>
        <w:rPr>
          <w:b/>
        </w:rPr>
        <w:fldChar w:fldCharType="separate"/>
      </w:r>
      <w:r>
        <w:rPr>
          <w:b/>
        </w:rPr>
        <w:t>Lancashire Local Pension Board</w:t>
      </w:r>
      <w:r>
        <w:rPr>
          <w:b/>
        </w:rPr>
        <w:fldChar w:fldCharType="end"/>
      </w:r>
    </w:p>
    <w:p w14:paraId="65C9ABF2" w14:textId="77777777" w:rsidR="003E6A45" w:rsidRDefault="003E6A45">
      <w:r>
        <w:t xml:space="preserve">Meeting to be held on </w:t>
      </w:r>
      <w:fldSimple w:instr=" DOCPROPERTY  MeetingDate  \* MERGEFORMAT ">
        <w:r w:rsidR="00326468">
          <w:t>Tuesday, 18 January 2022</w:t>
        </w:r>
      </w:fldSimple>
    </w:p>
    <w:p w14:paraId="04D6599B" w14:textId="77777777"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000000" w14:paraId="62AAD16F" w14:textId="77777777">
        <w:tc>
          <w:tcPr>
            <w:tcW w:w="3260" w:type="dxa"/>
          </w:tcPr>
          <w:p w14:paraId="2E3837FF" w14:textId="77777777" w:rsidR="003E6A45" w:rsidRDefault="003E6A45">
            <w:pPr>
              <w:pStyle w:val="BodyText"/>
            </w:pPr>
            <w:r>
              <w:t>Electoral Division affected:</w:t>
            </w:r>
          </w:p>
          <w:p w14:paraId="3DC8FD51" w14:textId="77777777" w:rsidR="003E6A45" w:rsidRDefault="00326468">
            <w:pPr>
              <w:rPr>
                <w:u w:val="single"/>
              </w:rPr>
            </w:pPr>
            <w:fldSimple w:instr=" DOCPROPERTY  Wards  \* MERGEFORMAT ">
              <w:r>
                <w:t>(All Divisions);</w:t>
              </w:r>
            </w:fldSimple>
          </w:p>
        </w:tc>
      </w:tr>
    </w:tbl>
    <w:p w14:paraId="4E317454" w14:textId="77777777" w:rsidR="003E6A45" w:rsidRDefault="003E6A45">
      <w:pPr>
        <w:rPr>
          <w:u w:val="single"/>
        </w:rPr>
      </w:pPr>
    </w:p>
    <w:p w14:paraId="5A488EA9" w14:textId="77777777" w:rsidR="007B08AF" w:rsidRDefault="007B08AF" w:rsidP="007B08AF">
      <w:r>
        <w:rPr>
          <w:b/>
        </w:rPr>
        <w:t>Appeals Update</w:t>
      </w:r>
      <w:r>
        <w:t xml:space="preserve"> </w:t>
      </w:r>
    </w:p>
    <w:p w14:paraId="2C95C290" w14:textId="77777777" w:rsidR="007B08AF" w:rsidRDefault="007B08AF" w:rsidP="007B08AF">
      <w:pPr>
        <w:ind w:left="709" w:hanging="709"/>
        <w:rPr>
          <w:b/>
        </w:rPr>
      </w:pPr>
    </w:p>
    <w:p w14:paraId="0855C7A3" w14:textId="77777777" w:rsidR="007B08AF" w:rsidRDefault="007B08AF" w:rsidP="007B08AF">
      <w:r>
        <w:t xml:space="preserve">Contact for further information: </w:t>
      </w:r>
      <w:fldSimple w:instr=" DOCPROPERTY  LeadOfficer  \* MERGEFORMAT ">
        <w:r>
          <w:t>Colin Smith</w:t>
        </w:r>
      </w:fldSimple>
      <w:r>
        <w:t>,</w:t>
      </w:r>
      <w:fldSimple w:instr=" DOCPROPERTY  LeadOfficerTel  \* MERGEFORMAT "/>
      <w:r>
        <w:t xml:space="preserve"> 01772 534826</w:t>
      </w:r>
      <w:fldSimple w:instr=" DOCPROPERTY  LeadOfficerTel  \* MERGEFORMAT "/>
      <w:r>
        <w:t xml:space="preserve">, Technical Pensions Lead, Lancashire County Pension Fund, </w:t>
      </w:r>
      <w:fldSimple w:instr=" DOCPROPERTY  LeadOfficerEmail  \* MERGEFORMAT ">
        <w:r>
          <w:t>Colin.Smith@lancashire.gov.uk</w:t>
        </w:r>
      </w:fldSimple>
      <w:r>
        <w:t xml:space="preserve"> </w:t>
      </w:r>
    </w:p>
    <w:p w14:paraId="5DD869F7" w14:textId="77777777"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0000" w14:paraId="2DFDC0BA" w14:textId="77777777">
        <w:tc>
          <w:tcPr>
            <w:tcW w:w="9180" w:type="dxa"/>
          </w:tcPr>
          <w:p w14:paraId="526619F2" w14:textId="77777777" w:rsidR="003E6A45" w:rsidRDefault="003E6A45">
            <w:pPr>
              <w:pStyle w:val="Header"/>
            </w:pPr>
          </w:p>
          <w:p w14:paraId="31FE445D" w14:textId="77777777"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14:paraId="02916966" w14:textId="77777777" w:rsidR="003E6A45" w:rsidRDefault="003E6A45"/>
          <w:p w14:paraId="1F8517B8" w14:textId="77777777" w:rsidR="007B08AF" w:rsidRDefault="007B08AF" w:rsidP="007B08A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report provides an update and broad analysis of appeals received under the Internal Disputes Resolution Procedure for the period 1</w:t>
            </w:r>
            <w:r w:rsidRPr="00772873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January 2021 to 31</w:t>
            </w:r>
            <w:r w:rsidRPr="00363380">
              <w:rPr>
                <w:rFonts w:cs="Arial"/>
                <w:szCs w:val="24"/>
                <w:vertAlign w:val="superscript"/>
              </w:rPr>
              <w:t>st</w:t>
            </w:r>
            <w:r>
              <w:rPr>
                <w:rFonts w:cs="Arial"/>
                <w:szCs w:val="24"/>
              </w:rPr>
              <w:t xml:space="preserve"> December 2021. </w:t>
            </w:r>
          </w:p>
          <w:p w14:paraId="4FEBA105" w14:textId="77777777" w:rsidR="003E6A45" w:rsidRDefault="003E6A45"/>
          <w:p w14:paraId="1D8D2FFC" w14:textId="77777777"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14:paraId="4C7690FE" w14:textId="77777777" w:rsidR="003E6A45" w:rsidRDefault="003E6A45"/>
          <w:p w14:paraId="7BA52DD2" w14:textId="77777777" w:rsidR="007B08AF" w:rsidRDefault="007B08AF" w:rsidP="007B08AF">
            <w:r>
              <w:t>The Board is asked to consider and note the contents of the report.</w:t>
            </w:r>
          </w:p>
          <w:p w14:paraId="0ADBD16C" w14:textId="77777777" w:rsidR="003E6A45" w:rsidRDefault="003E6A45"/>
        </w:tc>
      </w:tr>
    </w:tbl>
    <w:p w14:paraId="7AD764A7" w14:textId="77777777" w:rsidR="003E6A45" w:rsidRDefault="003E6A45">
      <w:pPr>
        <w:pStyle w:val="Header"/>
      </w:pPr>
    </w:p>
    <w:p w14:paraId="343D46A4" w14:textId="77777777"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14:paraId="2DCBD1AE" w14:textId="77777777" w:rsidR="00772BBA" w:rsidRDefault="00772BBA" w:rsidP="00772BBA">
      <w:pPr>
        <w:rPr>
          <w:b/>
        </w:rPr>
      </w:pPr>
    </w:p>
    <w:p w14:paraId="7F37BA5A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804650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Local Government Pension </w:t>
      </w:r>
      <w:r w:rsidRPr="00804650">
        <w:rPr>
          <w:rFonts w:cs="Arial"/>
          <w:szCs w:val="24"/>
        </w:rPr>
        <w:t xml:space="preserve">Scheme’s rules set out a </w:t>
      </w:r>
      <w:r w:rsidRPr="00804650">
        <w:rPr>
          <w:rFonts w:cs="Arial"/>
          <w:iCs/>
          <w:szCs w:val="24"/>
        </w:rPr>
        <w:t xml:space="preserve">formal </w:t>
      </w:r>
      <w:r w:rsidRPr="00804650">
        <w:rPr>
          <w:rFonts w:cs="Arial"/>
          <w:szCs w:val="24"/>
        </w:rPr>
        <w:t>procedure to resolve disagreements. This is called the</w:t>
      </w:r>
      <w:r>
        <w:rPr>
          <w:rFonts w:cs="Arial"/>
          <w:szCs w:val="24"/>
        </w:rPr>
        <w:t xml:space="preserve"> </w:t>
      </w:r>
      <w:r w:rsidRPr="00804650">
        <w:rPr>
          <w:rFonts w:cs="Arial"/>
          <w:szCs w:val="24"/>
        </w:rPr>
        <w:t xml:space="preserve">Internal Dispute Resolution Procedure. </w:t>
      </w:r>
      <w:r w:rsidRPr="0099458A">
        <w:rPr>
          <w:rFonts w:cs="Arial"/>
          <w:szCs w:val="24"/>
        </w:rPr>
        <w:t>Specifically, the rules for the appeal process are set out in the Local Government Pension Scheme</w:t>
      </w:r>
      <w:r>
        <w:rPr>
          <w:rFonts w:cs="Arial"/>
          <w:szCs w:val="24"/>
        </w:rPr>
        <w:t xml:space="preserve"> Regulations 2013</w:t>
      </w:r>
      <w:r w:rsidRPr="0099458A">
        <w:rPr>
          <w:rFonts w:cs="Arial"/>
          <w:szCs w:val="24"/>
        </w:rPr>
        <w:t xml:space="preserve"> within regulations 72 to 79</w:t>
      </w:r>
      <w:r>
        <w:rPr>
          <w:rFonts w:cs="Arial"/>
          <w:szCs w:val="24"/>
        </w:rPr>
        <w:t>.</w:t>
      </w:r>
    </w:p>
    <w:p w14:paraId="17F50D1A" w14:textId="77777777" w:rsidR="007B08AF" w:rsidRPr="0099458A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2F046268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804650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 xml:space="preserve">Procedure </w:t>
      </w:r>
      <w:r w:rsidRPr="00804650">
        <w:rPr>
          <w:rFonts w:cs="Arial"/>
          <w:szCs w:val="24"/>
        </w:rPr>
        <w:t>has 2 stages. Stage 1 is dealt</w:t>
      </w:r>
      <w:r>
        <w:rPr>
          <w:rFonts w:cs="Arial"/>
          <w:szCs w:val="24"/>
        </w:rPr>
        <w:t xml:space="preserve"> </w:t>
      </w:r>
      <w:r w:rsidRPr="00804650">
        <w:rPr>
          <w:rFonts w:cs="Arial"/>
          <w:szCs w:val="24"/>
        </w:rPr>
        <w:t xml:space="preserve">with by the body who </w:t>
      </w:r>
      <w:r>
        <w:rPr>
          <w:rFonts w:cs="Arial"/>
          <w:szCs w:val="24"/>
        </w:rPr>
        <w:t xml:space="preserve">made the initial decision </w:t>
      </w:r>
      <w:r w:rsidRPr="00804650">
        <w:rPr>
          <w:rFonts w:cs="Arial"/>
          <w:szCs w:val="24"/>
        </w:rPr>
        <w:t>(or omission</w:t>
      </w:r>
      <w:r>
        <w:rPr>
          <w:rFonts w:cs="Arial"/>
          <w:szCs w:val="24"/>
        </w:rPr>
        <w:t xml:space="preserve"> of a </w:t>
      </w:r>
      <w:r w:rsidRPr="0099458A">
        <w:rPr>
          <w:rFonts w:cs="Arial"/>
          <w:szCs w:val="24"/>
        </w:rPr>
        <w:t xml:space="preserve">decision) that is in dispute. This will normally either be the scheme employer or the pension administrators. </w:t>
      </w:r>
    </w:p>
    <w:p w14:paraId="563FFFF4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704B1B1D" w14:textId="77777777" w:rsidR="007B08AF" w:rsidRPr="00804650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804650">
        <w:rPr>
          <w:rFonts w:cs="Arial"/>
          <w:szCs w:val="24"/>
        </w:rPr>
        <w:t xml:space="preserve">f the disagreement is not resolved at </w:t>
      </w:r>
      <w:r w:rsidR="00C007C7">
        <w:rPr>
          <w:rFonts w:cs="Arial"/>
          <w:szCs w:val="24"/>
        </w:rPr>
        <w:t>S</w:t>
      </w:r>
      <w:r w:rsidRPr="00804650">
        <w:rPr>
          <w:rFonts w:cs="Arial"/>
          <w:szCs w:val="24"/>
        </w:rPr>
        <w:t xml:space="preserve">tage 1, the </w:t>
      </w:r>
      <w:r>
        <w:rPr>
          <w:rFonts w:cs="Arial"/>
          <w:szCs w:val="24"/>
        </w:rPr>
        <w:t xml:space="preserve">individual </w:t>
      </w:r>
      <w:r w:rsidRPr="00804650">
        <w:rPr>
          <w:rFonts w:cs="Arial"/>
          <w:szCs w:val="24"/>
        </w:rPr>
        <w:t>can refer it to the</w:t>
      </w:r>
    </w:p>
    <w:p w14:paraId="0C5C21D2" w14:textId="77777777" w:rsidR="007B08AF" w:rsidRDefault="007B08AF" w:rsidP="007B08AF">
      <w:pPr>
        <w:rPr>
          <w:rFonts w:cs="Arial"/>
          <w:szCs w:val="24"/>
        </w:rPr>
      </w:pPr>
      <w:r>
        <w:rPr>
          <w:rFonts w:cs="Arial"/>
          <w:szCs w:val="24"/>
        </w:rPr>
        <w:t>Pension Fund</w:t>
      </w:r>
      <w:r w:rsidRPr="00804650">
        <w:rPr>
          <w:rFonts w:cs="Arial"/>
          <w:szCs w:val="24"/>
        </w:rPr>
        <w:t xml:space="preserve"> for a decision at </w:t>
      </w:r>
      <w:r w:rsidR="00C007C7">
        <w:rPr>
          <w:rFonts w:cs="Arial"/>
          <w:szCs w:val="24"/>
        </w:rPr>
        <w:t>S</w:t>
      </w:r>
      <w:r w:rsidRPr="00804650">
        <w:rPr>
          <w:rFonts w:cs="Arial"/>
          <w:szCs w:val="24"/>
        </w:rPr>
        <w:t>tage 2.</w:t>
      </w:r>
      <w:r>
        <w:rPr>
          <w:rFonts w:cs="Arial"/>
          <w:szCs w:val="24"/>
        </w:rPr>
        <w:t xml:space="preserve"> The nominated Appeals Officer for reviewing </w:t>
      </w:r>
      <w:r w:rsidR="00C007C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tage 2 appeals is Colin Smith, </w:t>
      </w:r>
      <w:r>
        <w:t>Technical Pensions Lead</w:t>
      </w:r>
      <w:r>
        <w:rPr>
          <w:rFonts w:cs="Arial"/>
          <w:szCs w:val="24"/>
        </w:rPr>
        <w:t xml:space="preserve"> for the Lancashire County Pension Fund.</w:t>
      </w:r>
    </w:p>
    <w:p w14:paraId="458A398C" w14:textId="77777777" w:rsidR="007B08AF" w:rsidRDefault="007B08AF" w:rsidP="007B08AF">
      <w:pPr>
        <w:rPr>
          <w:rFonts w:cs="Arial"/>
          <w:szCs w:val="24"/>
        </w:rPr>
      </w:pPr>
    </w:p>
    <w:p w14:paraId="62CE9BE7" w14:textId="77777777" w:rsidR="007B08AF" w:rsidRPr="00127A43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127A43">
        <w:rPr>
          <w:rFonts w:cs="Arial"/>
          <w:b/>
          <w:szCs w:val="24"/>
        </w:rPr>
        <w:t>Overview of stage 1</w:t>
      </w:r>
    </w:p>
    <w:p w14:paraId="2B3FEA46" w14:textId="77777777" w:rsidR="007B08AF" w:rsidRPr="00127A43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4E0B54D9" w14:textId="77777777" w:rsidR="007B08AF" w:rsidRPr="00127A43" w:rsidRDefault="007B08AF" w:rsidP="007B08AF">
      <w:pPr>
        <w:autoSpaceDE w:val="0"/>
        <w:autoSpaceDN w:val="0"/>
        <w:adjustRightInd w:val="0"/>
        <w:rPr>
          <w:rFonts w:cs="Arial"/>
          <w:color w:val="183850"/>
          <w:szCs w:val="24"/>
        </w:rPr>
      </w:pPr>
      <w:r w:rsidRPr="006477A3">
        <w:rPr>
          <w:rFonts w:cs="Arial"/>
          <w:szCs w:val="24"/>
        </w:rPr>
        <w:t xml:space="preserve">The right to make a </w:t>
      </w:r>
      <w:r w:rsidR="00C007C7">
        <w:rPr>
          <w:rFonts w:cs="Arial"/>
          <w:szCs w:val="24"/>
        </w:rPr>
        <w:t>S</w:t>
      </w:r>
      <w:r w:rsidRPr="006477A3">
        <w:rPr>
          <w:rFonts w:cs="Arial"/>
          <w:szCs w:val="24"/>
        </w:rPr>
        <w:t xml:space="preserve">tage 1 complaint is time limited. Generally, the applicant has 6 months from the decision under dispute. The employer will nominate a person to determine </w:t>
      </w:r>
      <w:r w:rsidR="00C007C7">
        <w:rPr>
          <w:rFonts w:cs="Arial"/>
          <w:szCs w:val="24"/>
        </w:rPr>
        <w:t>S</w:t>
      </w:r>
      <w:r w:rsidRPr="006477A3">
        <w:rPr>
          <w:rFonts w:cs="Arial"/>
          <w:szCs w:val="24"/>
        </w:rPr>
        <w:t>tage 1 complaints known as the adjudicator. The adjudicator should provide their written decision within 2 months (although if there are specific reasons to do so they could send a letter extending and revising this deadline)</w:t>
      </w:r>
      <w:r w:rsidRPr="00127A43">
        <w:rPr>
          <w:rFonts w:cs="Arial"/>
          <w:color w:val="183850"/>
          <w:szCs w:val="24"/>
        </w:rPr>
        <w:t>.</w:t>
      </w:r>
    </w:p>
    <w:p w14:paraId="23C2E55F" w14:textId="77777777" w:rsidR="007B08AF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06E62D81" w14:textId="77777777" w:rsidR="007B08AF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476C65FC" w14:textId="77777777" w:rsidR="00C007C7" w:rsidRDefault="00C007C7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24915043" w14:textId="77777777" w:rsidR="007B08AF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495816">
        <w:rPr>
          <w:rFonts w:cs="Arial"/>
          <w:b/>
          <w:szCs w:val="24"/>
        </w:rPr>
        <w:lastRenderedPageBreak/>
        <w:t xml:space="preserve">Overview of </w:t>
      </w:r>
      <w:r w:rsidR="00C007C7">
        <w:rPr>
          <w:rFonts w:cs="Arial"/>
          <w:b/>
          <w:szCs w:val="24"/>
        </w:rPr>
        <w:t>S</w:t>
      </w:r>
      <w:r w:rsidRPr="00495816">
        <w:rPr>
          <w:rFonts w:cs="Arial"/>
          <w:b/>
          <w:szCs w:val="24"/>
        </w:rPr>
        <w:t>tage 2</w:t>
      </w:r>
    </w:p>
    <w:p w14:paraId="75C0DA67" w14:textId="77777777" w:rsidR="007B08AF" w:rsidRPr="00495816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028786E0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495816">
        <w:rPr>
          <w:rFonts w:cs="Arial"/>
          <w:szCs w:val="24"/>
        </w:rPr>
        <w:t xml:space="preserve">The applicant can ask the </w:t>
      </w:r>
      <w:r>
        <w:rPr>
          <w:rFonts w:cs="Arial"/>
          <w:szCs w:val="24"/>
        </w:rPr>
        <w:t>P</w:t>
      </w:r>
      <w:r w:rsidRPr="00495816">
        <w:rPr>
          <w:rFonts w:cs="Arial"/>
          <w:szCs w:val="24"/>
        </w:rPr>
        <w:t xml:space="preserve">ension </w:t>
      </w:r>
      <w:r>
        <w:rPr>
          <w:rFonts w:cs="Arial"/>
          <w:szCs w:val="24"/>
        </w:rPr>
        <w:t>F</w:t>
      </w:r>
      <w:r w:rsidRPr="00495816">
        <w:rPr>
          <w:rFonts w:cs="Arial"/>
          <w:szCs w:val="24"/>
        </w:rPr>
        <w:t xml:space="preserve">und to take a fresh look at their complaint if they are not satisfied with the adjudicator’s </w:t>
      </w:r>
      <w:r w:rsidR="00C007C7">
        <w:rPr>
          <w:rFonts w:cs="Arial"/>
          <w:szCs w:val="24"/>
        </w:rPr>
        <w:t>S</w:t>
      </w:r>
      <w:r w:rsidRPr="00495816">
        <w:rPr>
          <w:rFonts w:cs="Arial"/>
          <w:szCs w:val="24"/>
        </w:rPr>
        <w:t xml:space="preserve">tage 1 decision, or the applicant has not received the </w:t>
      </w:r>
      <w:r w:rsidR="00C007C7">
        <w:rPr>
          <w:rFonts w:cs="Arial"/>
          <w:szCs w:val="24"/>
        </w:rPr>
        <w:t>S</w:t>
      </w:r>
      <w:r w:rsidRPr="00495816">
        <w:rPr>
          <w:rFonts w:cs="Arial"/>
          <w:szCs w:val="24"/>
        </w:rPr>
        <w:t>tage 1 decision letter within certain deadlines.</w:t>
      </w:r>
    </w:p>
    <w:p w14:paraId="244DF0C1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5D19EA7D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495816">
        <w:rPr>
          <w:rFonts w:cs="Arial"/>
          <w:szCs w:val="24"/>
        </w:rPr>
        <w:t xml:space="preserve">The decision at </w:t>
      </w:r>
      <w:r w:rsidR="00C007C7">
        <w:rPr>
          <w:rFonts w:cs="Arial"/>
          <w:szCs w:val="24"/>
        </w:rPr>
        <w:t>S</w:t>
      </w:r>
      <w:r w:rsidRPr="00495816">
        <w:rPr>
          <w:rFonts w:cs="Arial"/>
          <w:szCs w:val="24"/>
        </w:rPr>
        <w:t xml:space="preserve">tage 2 must be given within 2 months (although again if there are specific reasons to do so a letter can be sent extending and revising this deadline). If the applicant is still unhappy following the </w:t>
      </w:r>
      <w:r w:rsidR="00C007C7">
        <w:rPr>
          <w:rFonts w:cs="Arial"/>
          <w:szCs w:val="24"/>
        </w:rPr>
        <w:t>S</w:t>
      </w:r>
      <w:r w:rsidRPr="00495816">
        <w:rPr>
          <w:rFonts w:cs="Arial"/>
          <w:szCs w:val="24"/>
        </w:rPr>
        <w:t>tage 2 decision, they can take their case to</w:t>
      </w:r>
      <w:r>
        <w:rPr>
          <w:rFonts w:cs="Arial"/>
          <w:szCs w:val="24"/>
        </w:rPr>
        <w:t xml:space="preserve"> </w:t>
      </w:r>
      <w:r w:rsidRPr="00495816">
        <w:rPr>
          <w:rFonts w:cs="Arial"/>
          <w:szCs w:val="24"/>
        </w:rPr>
        <w:t>The Pensions Ombudsman for a formal determination provided they do so within 3 years of</w:t>
      </w:r>
      <w:r>
        <w:rPr>
          <w:rFonts w:cs="Arial"/>
          <w:szCs w:val="24"/>
        </w:rPr>
        <w:t xml:space="preserve"> </w:t>
      </w:r>
      <w:r w:rsidRPr="00495816">
        <w:rPr>
          <w:rFonts w:cs="Arial"/>
          <w:szCs w:val="24"/>
        </w:rPr>
        <w:t>the event that gave rise to the initial complaint.</w:t>
      </w:r>
    </w:p>
    <w:p w14:paraId="4645AE1A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7A34FC79" w14:textId="77777777" w:rsidR="007B08AF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DE1641">
        <w:rPr>
          <w:rFonts w:cs="Arial"/>
          <w:b/>
          <w:szCs w:val="24"/>
        </w:rPr>
        <w:t xml:space="preserve">Analysis of appeals </w:t>
      </w:r>
      <w:r>
        <w:rPr>
          <w:rFonts w:cs="Arial"/>
          <w:b/>
          <w:szCs w:val="24"/>
        </w:rPr>
        <w:t xml:space="preserve">– </w:t>
      </w:r>
      <w:r w:rsidRPr="00DE1641">
        <w:rPr>
          <w:rFonts w:cs="Arial"/>
          <w:b/>
          <w:szCs w:val="24"/>
        </w:rPr>
        <w:t>1</w:t>
      </w:r>
      <w:r w:rsidRPr="0066714D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</w:t>
      </w:r>
      <w:r w:rsidRPr="00DE1641">
        <w:rPr>
          <w:rFonts w:cs="Arial"/>
          <w:b/>
          <w:szCs w:val="24"/>
        </w:rPr>
        <w:t>January 202</w:t>
      </w:r>
      <w:r>
        <w:rPr>
          <w:rFonts w:cs="Arial"/>
          <w:b/>
          <w:szCs w:val="24"/>
        </w:rPr>
        <w:t>1</w:t>
      </w:r>
      <w:r w:rsidRPr="00DE1641">
        <w:rPr>
          <w:rFonts w:cs="Arial"/>
          <w:b/>
          <w:szCs w:val="24"/>
        </w:rPr>
        <w:t xml:space="preserve"> to 3</w:t>
      </w:r>
      <w:r>
        <w:rPr>
          <w:rFonts w:cs="Arial"/>
          <w:b/>
          <w:szCs w:val="24"/>
        </w:rPr>
        <w:t>1</w:t>
      </w:r>
      <w:r w:rsidRPr="0066714D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December</w:t>
      </w:r>
      <w:r w:rsidRPr="00DE1641">
        <w:rPr>
          <w:rFonts w:cs="Arial"/>
          <w:b/>
          <w:szCs w:val="24"/>
        </w:rPr>
        <w:t xml:space="preserve"> 202</w:t>
      </w:r>
      <w:r>
        <w:rPr>
          <w:rFonts w:cs="Arial"/>
          <w:b/>
          <w:szCs w:val="24"/>
        </w:rPr>
        <w:t>1</w:t>
      </w:r>
    </w:p>
    <w:p w14:paraId="5DC6B6C6" w14:textId="77777777" w:rsidR="007B08AF" w:rsidRPr="00BF6059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2B5EBDD8" w14:textId="77777777" w:rsidR="007B08AF" w:rsidRPr="00625911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625911">
        <w:rPr>
          <w:rFonts w:cs="Arial"/>
          <w:szCs w:val="24"/>
        </w:rPr>
        <w:t>In general, the large percentage of appeal cases remains those linked to ill health issues, whether this is a dispute with the level awarded to the scheme member or where ill health retirement has been determined by the employer not to be appropriate for the scheme member.</w:t>
      </w:r>
    </w:p>
    <w:p w14:paraId="6CA5E13B" w14:textId="77777777" w:rsidR="007B08AF" w:rsidRPr="00625911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32BE8580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625911">
        <w:rPr>
          <w:rFonts w:cs="Arial"/>
          <w:szCs w:val="24"/>
        </w:rPr>
        <w:t xml:space="preserve">The number of </w:t>
      </w:r>
      <w:r w:rsidR="00C007C7">
        <w:rPr>
          <w:rFonts w:cs="Arial"/>
          <w:szCs w:val="24"/>
        </w:rPr>
        <w:t>S</w:t>
      </w:r>
      <w:r w:rsidRPr="00625911">
        <w:rPr>
          <w:rFonts w:cs="Arial"/>
          <w:szCs w:val="24"/>
        </w:rPr>
        <w:t>tage 2 cases received during the year is broadly similar to</w:t>
      </w:r>
      <w:r w:rsidR="00C007C7">
        <w:rPr>
          <w:rFonts w:cs="Arial"/>
          <w:szCs w:val="24"/>
        </w:rPr>
        <w:t xml:space="preserve"> that </w:t>
      </w:r>
      <w:r w:rsidRPr="00625911">
        <w:rPr>
          <w:rFonts w:cs="Arial"/>
          <w:szCs w:val="24"/>
        </w:rPr>
        <w:t xml:space="preserve">received last year. However there have been much less </w:t>
      </w:r>
      <w:r w:rsidR="00C007C7">
        <w:rPr>
          <w:rFonts w:cs="Arial"/>
          <w:szCs w:val="24"/>
        </w:rPr>
        <w:t>S</w:t>
      </w:r>
      <w:r w:rsidRPr="00625911">
        <w:rPr>
          <w:rFonts w:cs="Arial"/>
          <w:szCs w:val="24"/>
        </w:rPr>
        <w:t>tage 1 cases received</w:t>
      </w:r>
      <w:r>
        <w:rPr>
          <w:rFonts w:cs="Arial"/>
          <w:szCs w:val="24"/>
        </w:rPr>
        <w:t xml:space="preserve"> for review,</w:t>
      </w:r>
      <w:r w:rsidRPr="00625911">
        <w:rPr>
          <w:rFonts w:cs="Arial"/>
          <w:szCs w:val="24"/>
        </w:rPr>
        <w:t xml:space="preserve"> down from 28 </w:t>
      </w:r>
      <w:r>
        <w:rPr>
          <w:rFonts w:cs="Arial"/>
          <w:szCs w:val="24"/>
        </w:rPr>
        <w:t xml:space="preserve">cases </w:t>
      </w:r>
      <w:r w:rsidRPr="00625911">
        <w:rPr>
          <w:rFonts w:cs="Arial"/>
          <w:szCs w:val="24"/>
        </w:rPr>
        <w:t>last year to 1</w:t>
      </w:r>
      <w:r>
        <w:rPr>
          <w:rFonts w:cs="Arial"/>
          <w:szCs w:val="24"/>
        </w:rPr>
        <w:t>5 cases in 2021.</w:t>
      </w:r>
      <w:r w:rsidRPr="00625911">
        <w:rPr>
          <w:rFonts w:cs="Arial"/>
          <w:szCs w:val="24"/>
        </w:rPr>
        <w:t xml:space="preserve"> Only 2 cases, 1 at </w:t>
      </w:r>
      <w:r w:rsidR="00C007C7">
        <w:rPr>
          <w:rFonts w:cs="Arial"/>
          <w:szCs w:val="24"/>
        </w:rPr>
        <w:t>S</w:t>
      </w:r>
      <w:r w:rsidRPr="00625911">
        <w:rPr>
          <w:rFonts w:cs="Arial"/>
          <w:szCs w:val="24"/>
        </w:rPr>
        <w:t xml:space="preserve">tage 1 and 1 at </w:t>
      </w:r>
      <w:r w:rsidR="00C007C7">
        <w:rPr>
          <w:rFonts w:cs="Arial"/>
          <w:szCs w:val="24"/>
        </w:rPr>
        <w:t>S</w:t>
      </w:r>
      <w:r w:rsidRPr="00625911">
        <w:rPr>
          <w:rFonts w:cs="Arial"/>
          <w:szCs w:val="24"/>
        </w:rPr>
        <w:t xml:space="preserve">tage 2, were upheld. This reflects, in part, the support being offered </w:t>
      </w:r>
      <w:r w:rsidR="00C007C7">
        <w:rPr>
          <w:rFonts w:cs="Arial"/>
          <w:szCs w:val="24"/>
        </w:rPr>
        <w:t xml:space="preserve">to scheme employers </w:t>
      </w:r>
      <w:r w:rsidRPr="00625911">
        <w:rPr>
          <w:rFonts w:cs="Arial"/>
          <w:szCs w:val="24"/>
        </w:rPr>
        <w:t xml:space="preserve">by the Local Pensions Partnership and the Lancashire County Pension Fund team, particularly around the processes for ill health retirement and </w:t>
      </w:r>
      <w:r>
        <w:rPr>
          <w:rFonts w:cs="Arial"/>
          <w:szCs w:val="24"/>
        </w:rPr>
        <w:t xml:space="preserve">awareness of </w:t>
      </w:r>
      <w:r w:rsidRPr="00625911">
        <w:rPr>
          <w:rFonts w:cs="Arial"/>
          <w:szCs w:val="24"/>
        </w:rPr>
        <w:t>employer responsibility within the scheme in general.</w:t>
      </w:r>
    </w:p>
    <w:p w14:paraId="52145D16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7243E9CF" w14:textId="77777777" w:rsidR="007B08AF" w:rsidRPr="00625911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007C7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urrently </w:t>
      </w:r>
      <w:r w:rsidR="00C007C7">
        <w:rPr>
          <w:rFonts w:cs="Arial"/>
          <w:szCs w:val="24"/>
        </w:rPr>
        <w:t xml:space="preserve">there is </w:t>
      </w:r>
      <w:r>
        <w:rPr>
          <w:rFonts w:cs="Arial"/>
          <w:szCs w:val="24"/>
        </w:rPr>
        <w:t xml:space="preserve"> 1 case with the Pensions Ombudsman, who ha</w:t>
      </w:r>
      <w:r w:rsidR="00C007C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determined that it is a case  they believe  can </w:t>
      </w:r>
      <w:r w:rsidR="00C007C7">
        <w:rPr>
          <w:rFonts w:cs="Arial"/>
          <w:szCs w:val="24"/>
        </w:rPr>
        <w:t xml:space="preserve">be </w:t>
      </w:r>
      <w:r>
        <w:rPr>
          <w:rFonts w:cs="Arial"/>
          <w:szCs w:val="24"/>
        </w:rPr>
        <w:t>investigate</w:t>
      </w:r>
      <w:r w:rsidR="00C007C7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. The case relates to a regulatory issue around ill health and the Appeals Officer has submitted a response setting out that the position determined at </w:t>
      </w:r>
      <w:r w:rsidR="00C007C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tage 1 and 2 of the </w:t>
      </w:r>
      <w:r w:rsidRPr="00804650">
        <w:rPr>
          <w:rFonts w:cs="Arial"/>
          <w:szCs w:val="24"/>
        </w:rPr>
        <w:t>Internal Dispute Resolution Procedure</w:t>
      </w:r>
      <w:r>
        <w:rPr>
          <w:rFonts w:cs="Arial"/>
          <w:szCs w:val="24"/>
        </w:rPr>
        <w:t xml:space="preserve"> remains appropriate as the relevant scheme rules have been adhered to correctly.</w:t>
      </w:r>
    </w:p>
    <w:p w14:paraId="326D9BB7" w14:textId="77777777" w:rsidR="007B08AF" w:rsidRPr="00625911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</w:p>
    <w:p w14:paraId="31FB9C84" w14:textId="77777777" w:rsidR="007B08AF" w:rsidRDefault="007B08AF" w:rsidP="007B08AF">
      <w:pPr>
        <w:autoSpaceDE w:val="0"/>
        <w:autoSpaceDN w:val="0"/>
        <w:adjustRightInd w:val="0"/>
        <w:rPr>
          <w:rFonts w:cs="Arial"/>
          <w:szCs w:val="24"/>
        </w:rPr>
      </w:pPr>
      <w:r w:rsidRPr="00625911">
        <w:rPr>
          <w:rFonts w:cs="Arial"/>
          <w:szCs w:val="24"/>
        </w:rPr>
        <w:t>A full breakdown of the case types and outcomes are set out below:</w:t>
      </w:r>
      <w:r>
        <w:rPr>
          <w:rFonts w:cs="Arial"/>
          <w:szCs w:val="24"/>
        </w:rPr>
        <w:t xml:space="preserve"> </w:t>
      </w:r>
    </w:p>
    <w:p w14:paraId="1CB0300C" w14:textId="77777777" w:rsidR="007B08AF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2E3009C3" w14:textId="77777777" w:rsidR="007B08AF" w:rsidRPr="000C4339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546B7">
        <w:rPr>
          <w:rFonts w:cs="Arial"/>
          <w:b/>
          <w:szCs w:val="24"/>
        </w:rPr>
        <w:t>Stage 1 cases</w:t>
      </w:r>
    </w:p>
    <w:p w14:paraId="03F349AC" w14:textId="77777777" w:rsidR="007B08AF" w:rsidRDefault="007B08AF" w:rsidP="007B08AF">
      <w:pPr>
        <w:autoSpaceDE w:val="0"/>
        <w:autoSpaceDN w:val="0"/>
        <w:adjustRightInd w:val="0"/>
        <w:rPr>
          <w:rFonts w:cs="Arial"/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5528"/>
      </w:tblGrid>
      <w:tr w:rsidR="00000000" w14:paraId="078893C1" w14:textId="77777777" w:rsidTr="00F419A2">
        <w:tc>
          <w:tcPr>
            <w:tcW w:w="2660" w:type="dxa"/>
            <w:shd w:val="clear" w:color="auto" w:fill="auto"/>
          </w:tcPr>
          <w:p w14:paraId="275DF812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5A7F8B">
              <w:rPr>
                <w:rFonts w:cs="Arial"/>
                <w:b/>
                <w:szCs w:val="24"/>
              </w:rPr>
              <w:t>Type of Case</w:t>
            </w:r>
          </w:p>
        </w:tc>
        <w:tc>
          <w:tcPr>
            <w:tcW w:w="1559" w:type="dxa"/>
            <w:shd w:val="clear" w:color="auto" w:fill="auto"/>
          </w:tcPr>
          <w:p w14:paraId="5B0280F0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5A7F8B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5528" w:type="dxa"/>
            <w:shd w:val="clear" w:color="auto" w:fill="auto"/>
          </w:tcPr>
          <w:p w14:paraId="0A194C16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5A7F8B">
              <w:rPr>
                <w:rFonts w:cs="Arial"/>
                <w:b/>
                <w:szCs w:val="24"/>
              </w:rPr>
              <w:t>Breakdown</w:t>
            </w:r>
          </w:p>
        </w:tc>
      </w:tr>
      <w:tr w:rsidR="00000000" w14:paraId="23BFBF9C" w14:textId="77777777" w:rsidTr="00F419A2">
        <w:tc>
          <w:tcPr>
            <w:tcW w:w="2660" w:type="dxa"/>
            <w:shd w:val="clear" w:color="auto" w:fill="auto"/>
          </w:tcPr>
          <w:p w14:paraId="1D990997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t>Received</w:t>
            </w:r>
          </w:p>
        </w:tc>
        <w:tc>
          <w:tcPr>
            <w:tcW w:w="1559" w:type="dxa"/>
            <w:shd w:val="clear" w:color="auto" w:fill="auto"/>
          </w:tcPr>
          <w:p w14:paraId="13119B5B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2581C010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12 - Ill-health</w:t>
            </w:r>
          </w:p>
          <w:p w14:paraId="7DB1DCA8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1 – Transfer out (Mis-selling)</w:t>
            </w:r>
          </w:p>
          <w:p w14:paraId="2B6B17BD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1 - Transfer</w:t>
            </w:r>
          </w:p>
          <w:p w14:paraId="467A6721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A7F8B">
              <w:rPr>
                <w:rFonts w:ascii="Arial" w:hAnsi="Arial" w:cs="Arial"/>
                <w:sz w:val="24"/>
                <w:szCs w:val="24"/>
              </w:rPr>
              <w:t xml:space="preserve"> - Retirement benefits</w:t>
            </w:r>
          </w:p>
          <w:p w14:paraId="60D3430A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075FBBDF" w14:textId="77777777" w:rsidTr="00F419A2">
        <w:tc>
          <w:tcPr>
            <w:tcW w:w="2660" w:type="dxa"/>
            <w:shd w:val="clear" w:color="auto" w:fill="auto"/>
          </w:tcPr>
          <w:p w14:paraId="0E268982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t>Upheld</w:t>
            </w:r>
          </w:p>
        </w:tc>
        <w:tc>
          <w:tcPr>
            <w:tcW w:w="1559" w:type="dxa"/>
            <w:shd w:val="clear" w:color="auto" w:fill="auto"/>
          </w:tcPr>
          <w:p w14:paraId="7775FECA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4BC7EED" w14:textId="77777777" w:rsidR="007B08AF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1 – Ill Health</w:t>
            </w:r>
          </w:p>
          <w:p w14:paraId="4E5E012B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682E2FF3" w14:textId="77777777" w:rsidTr="00F419A2">
        <w:tc>
          <w:tcPr>
            <w:tcW w:w="2660" w:type="dxa"/>
            <w:shd w:val="clear" w:color="auto" w:fill="auto"/>
          </w:tcPr>
          <w:p w14:paraId="7EB7070A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Dismissed</w:t>
            </w:r>
          </w:p>
        </w:tc>
        <w:tc>
          <w:tcPr>
            <w:tcW w:w="1559" w:type="dxa"/>
            <w:shd w:val="clear" w:color="auto" w:fill="auto"/>
          </w:tcPr>
          <w:p w14:paraId="4E961134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14:paraId="6E1EDA6B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8 - Ill-health</w:t>
            </w:r>
          </w:p>
          <w:p w14:paraId="30AE359B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1 – Transfer out (Mis-selling)</w:t>
            </w:r>
          </w:p>
          <w:p w14:paraId="264B432B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>1 - Retirement benefits</w:t>
            </w:r>
          </w:p>
          <w:p w14:paraId="305C8384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7061F1D7" w14:textId="77777777" w:rsidTr="00F419A2">
        <w:tc>
          <w:tcPr>
            <w:tcW w:w="2660" w:type="dxa"/>
            <w:shd w:val="clear" w:color="auto" w:fill="auto"/>
          </w:tcPr>
          <w:p w14:paraId="4EF264AE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lastRenderedPageBreak/>
              <w:t>Outstanding</w:t>
            </w:r>
          </w:p>
        </w:tc>
        <w:tc>
          <w:tcPr>
            <w:tcW w:w="1559" w:type="dxa"/>
            <w:shd w:val="clear" w:color="auto" w:fill="auto"/>
          </w:tcPr>
          <w:p w14:paraId="440D342A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4996F7A3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5A7F8B">
              <w:rPr>
                <w:rFonts w:cs="Arial"/>
                <w:szCs w:val="24"/>
              </w:rPr>
              <w:t>3 – Ill Health</w:t>
            </w:r>
          </w:p>
          <w:p w14:paraId="3FA713E3" w14:textId="77777777" w:rsidR="007B08AF" w:rsidRPr="005A7F8B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A7F8B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5A7F8B">
              <w:rPr>
                <w:rFonts w:ascii="Arial" w:hAnsi="Arial" w:cs="Arial"/>
                <w:sz w:val="24"/>
                <w:szCs w:val="24"/>
              </w:rPr>
              <w:t xml:space="preserve"> Transfer</w:t>
            </w:r>
            <w:r>
              <w:rPr>
                <w:rFonts w:ascii="Arial" w:hAnsi="Arial" w:cs="Arial"/>
                <w:sz w:val="24"/>
                <w:szCs w:val="24"/>
              </w:rPr>
              <w:t xml:space="preserve"> (Late transfer)</w:t>
            </w:r>
          </w:p>
          <w:p w14:paraId="07B2C5FB" w14:textId="77777777" w:rsidR="007B08AF" w:rsidRPr="005A7F8B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7887C621" w14:textId="77777777" w:rsidR="007B08AF" w:rsidRPr="00D45B4E" w:rsidRDefault="007B08AF" w:rsidP="007B08A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BC8D81A" w14:textId="77777777" w:rsidR="007B08AF" w:rsidRDefault="007B08AF" w:rsidP="007B08A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3171784" w14:textId="77777777" w:rsidR="007B08AF" w:rsidRDefault="007B08AF" w:rsidP="007B08A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7EDF407" w14:textId="77777777" w:rsidR="007B08AF" w:rsidRDefault="007B08AF" w:rsidP="007B08A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EB7788D" w14:textId="77777777" w:rsidR="007B08AF" w:rsidRPr="00D45B4E" w:rsidRDefault="007B08AF" w:rsidP="007B08A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45B4E">
        <w:rPr>
          <w:rFonts w:ascii="Arial" w:hAnsi="Arial" w:cs="Arial"/>
          <w:b/>
          <w:sz w:val="24"/>
          <w:szCs w:val="24"/>
        </w:rPr>
        <w:t>Stage 2 cases</w:t>
      </w:r>
    </w:p>
    <w:p w14:paraId="7F98820D" w14:textId="77777777" w:rsidR="007B08AF" w:rsidRDefault="007B08AF" w:rsidP="007B08AF">
      <w:pPr>
        <w:pStyle w:val="ListParagraph"/>
        <w:ind w:left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5528"/>
      </w:tblGrid>
      <w:tr w:rsidR="00000000" w14:paraId="26B73FE4" w14:textId="77777777" w:rsidTr="00F419A2">
        <w:tc>
          <w:tcPr>
            <w:tcW w:w="2660" w:type="dxa"/>
            <w:shd w:val="clear" w:color="auto" w:fill="auto"/>
          </w:tcPr>
          <w:p w14:paraId="18C21BD8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D277DA">
              <w:rPr>
                <w:rFonts w:cs="Arial"/>
                <w:b/>
                <w:szCs w:val="24"/>
              </w:rPr>
              <w:t>Type of Case</w:t>
            </w:r>
          </w:p>
        </w:tc>
        <w:tc>
          <w:tcPr>
            <w:tcW w:w="1559" w:type="dxa"/>
            <w:shd w:val="clear" w:color="auto" w:fill="auto"/>
          </w:tcPr>
          <w:p w14:paraId="69B2EF54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D277DA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5528" w:type="dxa"/>
            <w:shd w:val="clear" w:color="auto" w:fill="auto"/>
          </w:tcPr>
          <w:p w14:paraId="10945CC2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D277DA">
              <w:rPr>
                <w:rFonts w:cs="Arial"/>
                <w:b/>
                <w:szCs w:val="24"/>
              </w:rPr>
              <w:t>Breakdown</w:t>
            </w:r>
          </w:p>
        </w:tc>
      </w:tr>
      <w:tr w:rsidR="00000000" w14:paraId="5969293E" w14:textId="77777777" w:rsidTr="00F419A2">
        <w:tc>
          <w:tcPr>
            <w:tcW w:w="2660" w:type="dxa"/>
            <w:shd w:val="clear" w:color="auto" w:fill="auto"/>
          </w:tcPr>
          <w:p w14:paraId="5F1AD742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277DA">
              <w:rPr>
                <w:rFonts w:cs="Arial"/>
                <w:szCs w:val="24"/>
              </w:rPr>
              <w:t>Received</w:t>
            </w:r>
          </w:p>
        </w:tc>
        <w:tc>
          <w:tcPr>
            <w:tcW w:w="1559" w:type="dxa"/>
            <w:shd w:val="clear" w:color="auto" w:fill="auto"/>
          </w:tcPr>
          <w:p w14:paraId="23C0D91E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14:paraId="38561B15" w14:textId="77777777" w:rsidR="007B08AF" w:rsidRPr="00D277DA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277DA">
              <w:rPr>
                <w:rFonts w:ascii="Arial" w:hAnsi="Arial" w:cs="Arial"/>
                <w:sz w:val="24"/>
                <w:szCs w:val="24"/>
              </w:rPr>
              <w:t xml:space="preserve"> - Ill-health</w:t>
            </w:r>
          </w:p>
          <w:p w14:paraId="5A59BD88" w14:textId="77777777" w:rsidR="007B08AF" w:rsidRPr="00D277DA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77DA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27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Death Grant nomination</w:t>
            </w:r>
          </w:p>
          <w:p w14:paraId="3FC9007E" w14:textId="77777777" w:rsidR="007B08AF" w:rsidRPr="00D277DA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77DA">
              <w:rPr>
                <w:rFonts w:ascii="Arial" w:hAnsi="Arial" w:cs="Arial"/>
                <w:sz w:val="24"/>
                <w:szCs w:val="24"/>
              </w:rPr>
              <w:t xml:space="preserve">1 – </w:t>
            </w:r>
            <w:r>
              <w:rPr>
                <w:rFonts w:ascii="Arial" w:hAnsi="Arial" w:cs="Arial"/>
                <w:sz w:val="24"/>
                <w:szCs w:val="24"/>
              </w:rPr>
              <w:t>Regulatory (Post retirement spouses' pension)</w:t>
            </w:r>
          </w:p>
          <w:p w14:paraId="1D24C5CE" w14:textId="77777777" w:rsidR="007B08AF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77DA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D27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Transfer out (Miss-selling)</w:t>
            </w:r>
          </w:p>
          <w:p w14:paraId="26C5361F" w14:textId="77777777" w:rsidR="007B08AF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Maladministration – (Incorrect final pay calculation)</w:t>
            </w:r>
          </w:p>
          <w:p w14:paraId="76BA0545" w14:textId="77777777" w:rsidR="007B08AF" w:rsidRPr="00D277DA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6E604EAA" w14:textId="77777777" w:rsidTr="00F419A2">
        <w:tc>
          <w:tcPr>
            <w:tcW w:w="2660" w:type="dxa"/>
            <w:shd w:val="clear" w:color="auto" w:fill="auto"/>
          </w:tcPr>
          <w:p w14:paraId="32600F0F" w14:textId="77777777" w:rsidR="007B08AF" w:rsidRPr="00D277DA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277DA">
              <w:rPr>
                <w:rFonts w:ascii="Arial" w:hAnsi="Arial" w:cs="Arial"/>
                <w:sz w:val="24"/>
                <w:szCs w:val="24"/>
              </w:rPr>
              <w:t>Upheld</w:t>
            </w:r>
          </w:p>
        </w:tc>
        <w:tc>
          <w:tcPr>
            <w:tcW w:w="1559" w:type="dxa"/>
            <w:shd w:val="clear" w:color="auto" w:fill="auto"/>
          </w:tcPr>
          <w:p w14:paraId="2A2E7CA1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546FFF95" w14:textId="77777777" w:rsidR="007B08AF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42C1F">
              <w:rPr>
                <w:rFonts w:ascii="Arial" w:hAnsi="Arial" w:cs="Arial"/>
                <w:sz w:val="24"/>
                <w:szCs w:val="24"/>
              </w:rPr>
              <w:t>The Employer has been asked to review their ill hea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342C1F">
              <w:rPr>
                <w:rFonts w:ascii="Arial" w:hAnsi="Arial" w:cs="Arial"/>
                <w:sz w:val="24"/>
                <w:szCs w:val="24"/>
              </w:rPr>
              <w:t>th decision again as the IRMP had not been pushed for an opinion on the effect of future treatments.</w:t>
            </w:r>
          </w:p>
          <w:p w14:paraId="67ACE1D3" w14:textId="77777777" w:rsidR="007B08AF" w:rsidRPr="00342C1F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40D00C33" w14:textId="77777777" w:rsidTr="00F419A2">
        <w:tc>
          <w:tcPr>
            <w:tcW w:w="2660" w:type="dxa"/>
            <w:shd w:val="clear" w:color="auto" w:fill="auto"/>
          </w:tcPr>
          <w:p w14:paraId="7FB6C8FD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277DA">
              <w:rPr>
                <w:rFonts w:cs="Arial"/>
                <w:szCs w:val="24"/>
              </w:rPr>
              <w:t>Dismissed</w:t>
            </w:r>
          </w:p>
        </w:tc>
        <w:tc>
          <w:tcPr>
            <w:tcW w:w="1559" w:type="dxa"/>
            <w:shd w:val="clear" w:color="auto" w:fill="auto"/>
          </w:tcPr>
          <w:p w14:paraId="22498E38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7AE1BB01" w14:textId="77777777" w:rsidR="006508C4" w:rsidRPr="00D277DA" w:rsidRDefault="006508C4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14:paraId="5ABA4B9F" w14:textId="77777777" w:rsidTr="00F419A2">
        <w:tc>
          <w:tcPr>
            <w:tcW w:w="2660" w:type="dxa"/>
            <w:shd w:val="clear" w:color="auto" w:fill="auto"/>
          </w:tcPr>
          <w:p w14:paraId="0870DDAB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D277DA">
              <w:rPr>
                <w:rFonts w:cs="Arial"/>
                <w:szCs w:val="24"/>
              </w:rPr>
              <w:t>Outstanding</w:t>
            </w:r>
          </w:p>
        </w:tc>
        <w:tc>
          <w:tcPr>
            <w:tcW w:w="1559" w:type="dxa"/>
            <w:shd w:val="clear" w:color="auto" w:fill="auto"/>
          </w:tcPr>
          <w:p w14:paraId="6CF49421" w14:textId="77777777" w:rsidR="007B08AF" w:rsidRPr="00D277DA" w:rsidRDefault="007B08AF" w:rsidP="00F419A2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DE399DD" w14:textId="77777777" w:rsidR="007B08AF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Maladministration – (Incorrect final pay calculation)</w:t>
            </w:r>
          </w:p>
          <w:p w14:paraId="1F92B86F" w14:textId="77777777" w:rsidR="007B08AF" w:rsidRPr="00D277DA" w:rsidRDefault="007B08AF" w:rsidP="00F419A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3EFAC" w14:textId="77777777" w:rsidR="00772BBA" w:rsidRDefault="00772BBA">
      <w:pPr>
        <w:pStyle w:val="Heading1"/>
      </w:pPr>
    </w:p>
    <w:p w14:paraId="243E7C51" w14:textId="77777777" w:rsidR="003E6A45" w:rsidRDefault="003E6A45">
      <w:pPr>
        <w:pStyle w:val="Heading1"/>
      </w:pPr>
      <w:r>
        <w:t>Consultations</w:t>
      </w:r>
    </w:p>
    <w:p w14:paraId="0C33F94F" w14:textId="77777777" w:rsidR="003E6A45" w:rsidRDefault="003E6A45">
      <w:pPr>
        <w:pStyle w:val="Header"/>
      </w:pPr>
    </w:p>
    <w:p w14:paraId="40F002EC" w14:textId="77777777" w:rsidR="007B08AF" w:rsidRDefault="007B08AF" w:rsidP="007B08AF">
      <w:r>
        <w:t>N/A</w:t>
      </w:r>
    </w:p>
    <w:p w14:paraId="52ACEC8D" w14:textId="77777777" w:rsidR="003E6A45" w:rsidRDefault="003E6A45"/>
    <w:p w14:paraId="4EFBCEBD" w14:textId="77777777" w:rsidR="00772BBA" w:rsidRDefault="003E6A45" w:rsidP="00772BBA">
      <w:r>
        <w:rPr>
          <w:b/>
        </w:rPr>
        <w:t>Implications</w:t>
      </w:r>
      <w:r>
        <w:t xml:space="preserve">: </w:t>
      </w:r>
    </w:p>
    <w:p w14:paraId="2D37099E" w14:textId="77777777" w:rsidR="00772BBA" w:rsidRDefault="00772BBA" w:rsidP="00772BBA"/>
    <w:p w14:paraId="3378CDE3" w14:textId="77777777" w:rsidR="00772BBA" w:rsidRDefault="00772BBA" w:rsidP="00772BBA">
      <w:r>
        <w:t>This item has the following implications, as indicated:</w:t>
      </w:r>
    </w:p>
    <w:p w14:paraId="3C7F4EFD" w14:textId="77777777" w:rsidR="009B61F1" w:rsidRDefault="009B61F1" w:rsidP="00772BBA">
      <w:pPr>
        <w:rPr>
          <w:b/>
        </w:rPr>
      </w:pPr>
    </w:p>
    <w:p w14:paraId="7B060B5C" w14:textId="77777777"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14:paraId="31EEC541" w14:textId="77777777" w:rsidR="00772BBA" w:rsidRDefault="00772BBA" w:rsidP="00772BBA"/>
    <w:p w14:paraId="301219C5" w14:textId="77777777" w:rsidR="007B08AF" w:rsidRDefault="007B08AF" w:rsidP="007B08AF">
      <w:r w:rsidRPr="009D1FD3">
        <w:t>No significant risks have been identified</w:t>
      </w:r>
      <w:r>
        <w:t xml:space="preserve"> </w:t>
      </w:r>
    </w:p>
    <w:p w14:paraId="41735529" w14:textId="77777777" w:rsidR="00772BBA" w:rsidRDefault="00772BBA" w:rsidP="00772BBA">
      <w:pPr>
        <w:pStyle w:val="Header"/>
      </w:pPr>
    </w:p>
    <w:p w14:paraId="0096E163" w14:textId="77777777" w:rsidR="003E6A45" w:rsidRDefault="003E6A45">
      <w:pPr>
        <w:pStyle w:val="Heading5"/>
        <w:rPr>
          <w:rFonts w:ascii="Arial" w:hAnsi="Arial"/>
        </w:rPr>
      </w:pPr>
    </w:p>
    <w:p w14:paraId="37513E20" w14:textId="77777777"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42C91D14" w14:textId="77777777"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386D6A33" w14:textId="77777777" w:rsidR="003E6A45" w:rsidRDefault="003E6A45"/>
    <w:tbl>
      <w:tblPr>
        <w:tblW w:w="0" w:type="auto"/>
        <w:tblLayout w:type="fixed"/>
        <w:tblLook w:val="000C" w:firstRow="0" w:lastRow="0" w:firstColumn="0" w:lastColumn="0" w:noHBand="0" w:noVBand="0"/>
      </w:tblPr>
      <w:tblGrid>
        <w:gridCol w:w="3227"/>
        <w:gridCol w:w="2775"/>
        <w:gridCol w:w="3178"/>
      </w:tblGrid>
      <w:tr w:rsidR="00000000" w14:paraId="58D51F97" w14:textId="77777777">
        <w:tc>
          <w:tcPr>
            <w:tcW w:w="3227" w:type="dxa"/>
          </w:tcPr>
          <w:p w14:paraId="588FE983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23FE2F44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69681406" w14:textId="77777777" w:rsidR="003E6A45" w:rsidRDefault="003E6A45" w:rsidP="00F642C1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000000" w14:paraId="0D801EF9" w14:textId="77777777">
        <w:tc>
          <w:tcPr>
            <w:tcW w:w="3227" w:type="dxa"/>
          </w:tcPr>
          <w:p w14:paraId="0329D5E6" w14:textId="77777777" w:rsidR="003E6A45" w:rsidRDefault="007B08AF">
            <w:r>
              <w:t>N/A</w:t>
            </w:r>
          </w:p>
          <w:p w14:paraId="76FF9D90" w14:textId="77777777" w:rsidR="007B08AF" w:rsidRDefault="007B08AF"/>
        </w:tc>
        <w:tc>
          <w:tcPr>
            <w:tcW w:w="2775" w:type="dxa"/>
          </w:tcPr>
          <w:p w14:paraId="474C8251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</w:p>
          <w:p w14:paraId="5D3048A6" w14:textId="77777777" w:rsidR="003E6A45" w:rsidRDefault="003E6A45"/>
        </w:tc>
        <w:tc>
          <w:tcPr>
            <w:tcW w:w="3178" w:type="dxa"/>
          </w:tcPr>
          <w:p w14:paraId="205FDF60" w14:textId="77777777" w:rsidR="003E6A45" w:rsidRDefault="003E6A45"/>
          <w:p w14:paraId="19091BE7" w14:textId="77777777" w:rsidR="003E6A45" w:rsidRDefault="003E6A45" w:rsidP="007B08AF"/>
        </w:tc>
      </w:tr>
    </w:tbl>
    <w:p w14:paraId="0730F6D3" w14:textId="77777777" w:rsidR="00E93E76" w:rsidRDefault="00E93E76" w:rsidP="007B08AF">
      <w:r>
        <w:t>Reason for inclusion in Part II, if appropriate</w:t>
      </w:r>
      <w:r w:rsidR="006508C4">
        <w:t xml:space="preserve"> </w:t>
      </w:r>
    </w:p>
    <w:p w14:paraId="7C79B140" w14:textId="77777777" w:rsidR="00E93E76" w:rsidRDefault="00E93E76" w:rsidP="007B08AF">
      <w:r>
        <w:t>N/A</w:t>
      </w:r>
    </w:p>
    <w:sectPr w:rsidR="00E93E76">
      <w:footerReference w:type="default" r:id="rId7"/>
      <w:footerReference w:type="first" r:id="rId8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7B5B" w14:textId="77777777" w:rsidR="00D16595" w:rsidRDefault="00D16595">
      <w:r>
        <w:separator/>
      </w:r>
    </w:p>
  </w:endnote>
  <w:endnote w:type="continuationSeparator" w:id="0">
    <w:p w14:paraId="251733DE" w14:textId="77777777" w:rsidR="00D16595" w:rsidRDefault="00D1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000000" w14:paraId="7BB2F842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E3894D9" w14:textId="77777777" w:rsidR="003E6A45" w:rsidRDefault="003E6A4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1BEAFB5B" w14:textId="77777777"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000000" w14:paraId="546AA644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0CCDF632" w14:textId="26B5D041" w:rsidR="003E6A45" w:rsidRDefault="0094541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019EFDE9" wp14:editId="6BA7FD85">
                <wp:extent cx="1257300" cy="62484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797132" w14:textId="77777777"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D1B8" w14:textId="77777777" w:rsidR="00D16595" w:rsidRDefault="00D16595">
      <w:r>
        <w:separator/>
      </w:r>
    </w:p>
  </w:footnote>
  <w:footnote w:type="continuationSeparator" w:id="0">
    <w:p w14:paraId="3ED60728" w14:textId="77777777" w:rsidR="00D16595" w:rsidRDefault="00D1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45"/>
    <w:rsid w:val="00060791"/>
    <w:rsid w:val="00092B2F"/>
    <w:rsid w:val="000C4339"/>
    <w:rsid w:val="00127A43"/>
    <w:rsid w:val="002546B7"/>
    <w:rsid w:val="0028461B"/>
    <w:rsid w:val="002B11AF"/>
    <w:rsid w:val="00326468"/>
    <w:rsid w:val="00342C1F"/>
    <w:rsid w:val="003507A7"/>
    <w:rsid w:val="00354CAC"/>
    <w:rsid w:val="00357954"/>
    <w:rsid w:val="00363380"/>
    <w:rsid w:val="003B2DB0"/>
    <w:rsid w:val="003E6344"/>
    <w:rsid w:val="003E6A45"/>
    <w:rsid w:val="0044710C"/>
    <w:rsid w:val="00495816"/>
    <w:rsid w:val="00581BB4"/>
    <w:rsid w:val="005A7F8B"/>
    <w:rsid w:val="00621B00"/>
    <w:rsid w:val="00625911"/>
    <w:rsid w:val="006477A3"/>
    <w:rsid w:val="006508C4"/>
    <w:rsid w:val="0066714D"/>
    <w:rsid w:val="00772873"/>
    <w:rsid w:val="00772BBA"/>
    <w:rsid w:val="007B08AF"/>
    <w:rsid w:val="007B5200"/>
    <w:rsid w:val="007E7A9F"/>
    <w:rsid w:val="00804650"/>
    <w:rsid w:val="008A5E88"/>
    <w:rsid w:val="00945414"/>
    <w:rsid w:val="00960FB7"/>
    <w:rsid w:val="0099458A"/>
    <w:rsid w:val="009B3418"/>
    <w:rsid w:val="009B61F1"/>
    <w:rsid w:val="009D1FD3"/>
    <w:rsid w:val="00AA6B2C"/>
    <w:rsid w:val="00B67789"/>
    <w:rsid w:val="00BB08CC"/>
    <w:rsid w:val="00BF6059"/>
    <w:rsid w:val="00C007C7"/>
    <w:rsid w:val="00C20DC0"/>
    <w:rsid w:val="00C43FDD"/>
    <w:rsid w:val="00CD5239"/>
    <w:rsid w:val="00D16595"/>
    <w:rsid w:val="00D277DA"/>
    <w:rsid w:val="00D45B4E"/>
    <w:rsid w:val="00DE1641"/>
    <w:rsid w:val="00E644A2"/>
    <w:rsid w:val="00E93E76"/>
    <w:rsid w:val="00EA45E5"/>
    <w:rsid w:val="00F419A2"/>
    <w:rsid w:val="00F642C1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A4D93"/>
  <w15:chartTrackingRefBased/>
  <w15:docId w15:val="{5046B88A-4E94-4BD7-A624-7DD2D98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8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50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50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08C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Neville, Mike</cp:lastModifiedBy>
  <cp:revision>2</cp:revision>
  <cp:lastPrinted>2002-09-23T10:55:00Z</cp:lastPrinted>
  <dcterms:created xsi:type="dcterms:W3CDTF">2022-01-04T14:08:00Z</dcterms:created>
  <dcterms:modified xsi:type="dcterms:W3CDTF">2022-01-04T14:08:00Z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Lancashire Local Pension Board</vt:lpwstr>
  </property>
  <property fmtid="{D5CDD505-2E9C-101B-9397-08002B2CF9AE}" pid="3" name="IssueTitle">
    <vt:lpwstr>Appeals Update</vt:lpwstr>
  </property>
  <property fmtid="{D5CDD505-2E9C-101B-9397-08002B2CF9AE}" pid="4" name="LeadOfficer">
    <vt:lpwstr>Colin Smith</vt:lpwstr>
  </property>
  <property fmtid="{D5CDD505-2E9C-101B-9397-08002B2CF9AE}" pid="5" name="LeadOfficerEmail">
    <vt:lpwstr>Colin.Smith@lancashire.gov.uk</vt:lpwstr>
  </property>
  <property fmtid="{D5CDD505-2E9C-101B-9397-08002B2CF9AE}" pid="6" name="LeadOfficerTel">
    <vt:lpwstr/>
  </property>
  <property fmtid="{D5CDD505-2E9C-101B-9397-08002B2CF9AE}" pid="7" name="MeetingDate">
    <vt:lpwstr>Tuesday, 18 January 2022</vt:lpwstr>
  </property>
  <property fmtid="{D5CDD505-2E9C-101B-9397-08002B2CF9AE}" pid="8" name="Wards">
    <vt:lpwstr>(All Divisions);</vt:lpwstr>
  </property>
  <property fmtid="{D5CDD505-2E9C-101B-9397-08002B2CF9AE}" pid="9" name="_AdHocReviewCycleID">
    <vt:i4>-972722728</vt:i4>
  </property>
  <property fmtid="{D5CDD505-2E9C-101B-9397-08002B2CF9AE}" pid="10" name="_AuthorEmail">
    <vt:lpwstr>Chris.Mather@css.lancscc.gov.uk</vt:lpwstr>
  </property>
  <property fmtid="{D5CDD505-2E9C-101B-9397-08002B2CF9AE}" pid="11" name="_AuthorEmailDisplayName">
    <vt:lpwstr>Mather, Chris</vt:lpwstr>
  </property>
  <property fmtid="{D5CDD505-2E9C-101B-9397-08002B2CF9AE}" pid="12" name="_EmailSubject">
    <vt:lpwstr>New Committee templates</vt:lpwstr>
  </property>
  <property fmtid="{D5CDD505-2E9C-101B-9397-08002B2CF9AE}" pid="13" name="_ReviewingToolsShownOnce">
    <vt:lpwstr/>
  </property>
</Properties>
</file>